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991C0" w14:textId="5F21390E" w:rsidR="00FA6BAB" w:rsidRPr="00E04B3B" w:rsidRDefault="002C67BF" w:rsidP="00A82B0C">
      <w:pPr>
        <w:pStyle w:val="Heading1"/>
      </w:pPr>
      <w:bookmarkStart w:id="0" w:name="_Toc25916960"/>
      <w:r>
        <w:t>D</w:t>
      </w:r>
      <w:r w:rsidR="005F3D23">
        <w:t>ata</w:t>
      </w:r>
      <w:r>
        <w:t xml:space="preserve"> reporting improvements</w:t>
      </w:r>
      <w:bookmarkEnd w:id="0"/>
    </w:p>
    <w:sdt>
      <w:sdtPr>
        <w:rPr>
          <w:b/>
          <w:bCs/>
          <w:sz w:val="22"/>
        </w:rPr>
        <w:id w:val="-715669303"/>
        <w:docPartObj>
          <w:docPartGallery w:val="Table of Contents"/>
          <w:docPartUnique/>
        </w:docPartObj>
      </w:sdtPr>
      <w:sdtEndPr>
        <w:rPr>
          <w:b w:val="0"/>
          <w:bCs w:val="0"/>
          <w:noProof/>
          <w:sz w:val="20"/>
        </w:rPr>
      </w:sdtEndPr>
      <w:sdtContent>
        <w:p w14:paraId="36748C02" w14:textId="77777777" w:rsidR="002C67BF" w:rsidRDefault="00FA6BAB">
          <w:pPr>
            <w:pStyle w:val="TOC1"/>
            <w:tabs>
              <w:tab w:val="right" w:leader="dot" w:pos="10456"/>
            </w:tabs>
            <w:rPr>
              <w:noProof/>
            </w:rPr>
          </w:pPr>
          <w:r w:rsidRPr="00E819CD">
            <w:rPr>
              <w:rStyle w:val="Heading2Char"/>
            </w:rPr>
            <w:t>Contents</w:t>
          </w:r>
          <w:r w:rsidR="007060BE">
            <w:rPr>
              <w:b/>
              <w:bCs/>
              <w:noProof/>
            </w:rPr>
            <w:fldChar w:fldCharType="begin"/>
          </w:r>
          <w:r w:rsidR="007060BE">
            <w:rPr>
              <w:b/>
              <w:bCs/>
              <w:noProof/>
            </w:rPr>
            <w:instrText xml:space="preserve"> TOC \o "1-3" \h \z \u </w:instrText>
          </w:r>
          <w:r w:rsidR="007060BE">
            <w:rPr>
              <w:b/>
              <w:bCs/>
              <w:noProof/>
            </w:rPr>
            <w:fldChar w:fldCharType="separate"/>
          </w:r>
        </w:p>
        <w:p w14:paraId="302BFAED" w14:textId="5BFA45AC" w:rsidR="002C67BF" w:rsidRDefault="00BA5D31">
          <w:pPr>
            <w:pStyle w:val="TOC1"/>
            <w:tabs>
              <w:tab w:val="right" w:leader="dot" w:pos="10456"/>
            </w:tabs>
            <w:rPr>
              <w:rFonts w:asciiTheme="minorHAnsi" w:eastAsiaTheme="minorEastAsia" w:hAnsiTheme="minorHAnsi"/>
              <w:noProof/>
              <w:sz w:val="22"/>
              <w:lang w:eastAsia="en-AU"/>
            </w:rPr>
          </w:pPr>
          <w:hyperlink w:anchor="_Toc25916960" w:history="1">
            <w:r w:rsidR="002C67BF" w:rsidRPr="00216C3B">
              <w:rPr>
                <w:rStyle w:val="Hyperlink"/>
                <w:noProof/>
              </w:rPr>
              <w:t>Data reporting improvements</w:t>
            </w:r>
            <w:r w:rsidR="002C67BF">
              <w:rPr>
                <w:noProof/>
                <w:webHidden/>
              </w:rPr>
              <w:tab/>
            </w:r>
            <w:r w:rsidR="002C67BF">
              <w:rPr>
                <w:noProof/>
                <w:webHidden/>
              </w:rPr>
              <w:fldChar w:fldCharType="begin"/>
            </w:r>
            <w:r w:rsidR="002C67BF">
              <w:rPr>
                <w:noProof/>
                <w:webHidden/>
              </w:rPr>
              <w:instrText xml:space="preserve"> PAGEREF _Toc25916960 \h </w:instrText>
            </w:r>
            <w:r w:rsidR="002C67BF">
              <w:rPr>
                <w:noProof/>
                <w:webHidden/>
              </w:rPr>
            </w:r>
            <w:r w:rsidR="002C67BF">
              <w:rPr>
                <w:noProof/>
                <w:webHidden/>
              </w:rPr>
              <w:fldChar w:fldCharType="separate"/>
            </w:r>
            <w:r w:rsidR="002C67BF">
              <w:rPr>
                <w:noProof/>
                <w:webHidden/>
              </w:rPr>
              <w:t>1</w:t>
            </w:r>
            <w:r w:rsidR="002C67BF">
              <w:rPr>
                <w:noProof/>
                <w:webHidden/>
              </w:rPr>
              <w:fldChar w:fldCharType="end"/>
            </w:r>
          </w:hyperlink>
        </w:p>
        <w:p w14:paraId="2246138A" w14:textId="06BAA1D6" w:rsidR="002C67BF" w:rsidRDefault="00BA5D31">
          <w:pPr>
            <w:pStyle w:val="TOC2"/>
            <w:tabs>
              <w:tab w:val="right" w:leader="dot" w:pos="10456"/>
            </w:tabs>
            <w:rPr>
              <w:rFonts w:asciiTheme="minorHAnsi" w:eastAsiaTheme="minorEastAsia" w:hAnsiTheme="minorHAnsi"/>
              <w:noProof/>
              <w:sz w:val="22"/>
              <w:lang w:eastAsia="en-AU"/>
            </w:rPr>
          </w:pPr>
          <w:hyperlink w:anchor="_Toc25916961" w:history="1">
            <w:r w:rsidR="002C67BF" w:rsidRPr="00216C3B">
              <w:rPr>
                <w:rStyle w:val="Hyperlink"/>
                <w:noProof/>
              </w:rPr>
              <w:t>What’s new</w:t>
            </w:r>
            <w:r w:rsidR="002C67BF">
              <w:rPr>
                <w:noProof/>
                <w:webHidden/>
              </w:rPr>
              <w:tab/>
            </w:r>
            <w:r w:rsidR="002C67BF">
              <w:rPr>
                <w:noProof/>
                <w:webHidden/>
              </w:rPr>
              <w:fldChar w:fldCharType="begin"/>
            </w:r>
            <w:r w:rsidR="002C67BF">
              <w:rPr>
                <w:noProof/>
                <w:webHidden/>
              </w:rPr>
              <w:instrText xml:space="preserve"> PAGEREF _Toc25916961 \h </w:instrText>
            </w:r>
            <w:r w:rsidR="002C67BF">
              <w:rPr>
                <w:noProof/>
                <w:webHidden/>
              </w:rPr>
            </w:r>
            <w:r w:rsidR="002C67BF">
              <w:rPr>
                <w:noProof/>
                <w:webHidden/>
              </w:rPr>
              <w:fldChar w:fldCharType="separate"/>
            </w:r>
            <w:r w:rsidR="002C67BF">
              <w:rPr>
                <w:noProof/>
                <w:webHidden/>
              </w:rPr>
              <w:t>1</w:t>
            </w:r>
            <w:r w:rsidR="002C67BF">
              <w:rPr>
                <w:noProof/>
                <w:webHidden/>
              </w:rPr>
              <w:fldChar w:fldCharType="end"/>
            </w:r>
          </w:hyperlink>
        </w:p>
        <w:p w14:paraId="75686CDF" w14:textId="128C5B95" w:rsidR="002C67BF" w:rsidRDefault="00BA5D31">
          <w:pPr>
            <w:pStyle w:val="TOC3"/>
            <w:tabs>
              <w:tab w:val="right" w:leader="dot" w:pos="10456"/>
            </w:tabs>
            <w:rPr>
              <w:rFonts w:asciiTheme="minorHAnsi" w:eastAsiaTheme="minorEastAsia" w:hAnsiTheme="minorHAnsi"/>
              <w:noProof/>
              <w:sz w:val="22"/>
              <w:lang w:eastAsia="en-AU"/>
            </w:rPr>
          </w:pPr>
          <w:hyperlink w:anchor="_Toc25916962" w:history="1">
            <w:r w:rsidR="002C67BF" w:rsidRPr="00216C3B">
              <w:rPr>
                <w:rStyle w:val="Hyperlink"/>
                <w:noProof/>
              </w:rPr>
              <w:t>Changes to reporting on active providers data</w:t>
            </w:r>
            <w:r w:rsidR="002C67BF">
              <w:rPr>
                <w:noProof/>
                <w:webHidden/>
              </w:rPr>
              <w:tab/>
            </w:r>
            <w:r w:rsidR="002C67BF">
              <w:rPr>
                <w:noProof/>
                <w:webHidden/>
              </w:rPr>
              <w:fldChar w:fldCharType="begin"/>
            </w:r>
            <w:r w:rsidR="002C67BF">
              <w:rPr>
                <w:noProof/>
                <w:webHidden/>
              </w:rPr>
              <w:instrText xml:space="preserve"> PAGEREF _Toc25916962 \h </w:instrText>
            </w:r>
            <w:r w:rsidR="002C67BF">
              <w:rPr>
                <w:noProof/>
                <w:webHidden/>
              </w:rPr>
            </w:r>
            <w:r w:rsidR="002C67BF">
              <w:rPr>
                <w:noProof/>
                <w:webHidden/>
              </w:rPr>
              <w:fldChar w:fldCharType="separate"/>
            </w:r>
            <w:r w:rsidR="002C67BF">
              <w:rPr>
                <w:noProof/>
                <w:webHidden/>
              </w:rPr>
              <w:t>1</w:t>
            </w:r>
            <w:r w:rsidR="002C67BF">
              <w:rPr>
                <w:noProof/>
                <w:webHidden/>
              </w:rPr>
              <w:fldChar w:fldCharType="end"/>
            </w:r>
          </w:hyperlink>
        </w:p>
        <w:p w14:paraId="42259BC0" w14:textId="36936A83" w:rsidR="002C67BF" w:rsidRDefault="00BA5D31">
          <w:pPr>
            <w:pStyle w:val="TOC3"/>
            <w:tabs>
              <w:tab w:val="right" w:leader="dot" w:pos="10456"/>
            </w:tabs>
            <w:rPr>
              <w:rFonts w:asciiTheme="minorHAnsi" w:eastAsiaTheme="minorEastAsia" w:hAnsiTheme="minorHAnsi"/>
              <w:noProof/>
              <w:sz w:val="22"/>
              <w:lang w:eastAsia="en-AU"/>
            </w:rPr>
          </w:pPr>
          <w:hyperlink w:anchor="_Toc25916963" w:history="1">
            <w:r w:rsidR="002C67BF" w:rsidRPr="00216C3B">
              <w:rPr>
                <w:rStyle w:val="Hyperlink"/>
                <w:noProof/>
              </w:rPr>
              <w:t>Change to reporting on active participants</w:t>
            </w:r>
            <w:r w:rsidR="002C67BF">
              <w:rPr>
                <w:noProof/>
                <w:webHidden/>
              </w:rPr>
              <w:tab/>
            </w:r>
            <w:r w:rsidR="002C67BF">
              <w:rPr>
                <w:noProof/>
                <w:webHidden/>
              </w:rPr>
              <w:fldChar w:fldCharType="begin"/>
            </w:r>
            <w:r w:rsidR="002C67BF">
              <w:rPr>
                <w:noProof/>
                <w:webHidden/>
              </w:rPr>
              <w:instrText xml:space="preserve"> PAGEREF _Toc25916963 \h </w:instrText>
            </w:r>
            <w:r w:rsidR="002C67BF">
              <w:rPr>
                <w:noProof/>
                <w:webHidden/>
              </w:rPr>
            </w:r>
            <w:r w:rsidR="002C67BF">
              <w:rPr>
                <w:noProof/>
                <w:webHidden/>
              </w:rPr>
              <w:fldChar w:fldCharType="separate"/>
            </w:r>
            <w:r w:rsidR="002C67BF">
              <w:rPr>
                <w:noProof/>
                <w:webHidden/>
              </w:rPr>
              <w:t>1</w:t>
            </w:r>
            <w:r w:rsidR="002C67BF">
              <w:rPr>
                <w:noProof/>
                <w:webHidden/>
              </w:rPr>
              <w:fldChar w:fldCharType="end"/>
            </w:r>
          </w:hyperlink>
        </w:p>
        <w:p w14:paraId="37D4EE97" w14:textId="017F46A7" w:rsidR="002C67BF" w:rsidRDefault="00BA5D31">
          <w:pPr>
            <w:pStyle w:val="TOC3"/>
            <w:tabs>
              <w:tab w:val="right" w:leader="dot" w:pos="10456"/>
            </w:tabs>
            <w:rPr>
              <w:rFonts w:asciiTheme="minorHAnsi" w:eastAsiaTheme="minorEastAsia" w:hAnsiTheme="minorHAnsi"/>
              <w:noProof/>
              <w:sz w:val="22"/>
              <w:lang w:eastAsia="en-AU"/>
            </w:rPr>
          </w:pPr>
          <w:hyperlink w:anchor="_Toc25916964" w:history="1">
            <w:r w:rsidR="002C67BF" w:rsidRPr="00216C3B">
              <w:rPr>
                <w:rStyle w:val="Hyperlink"/>
                <w:noProof/>
              </w:rPr>
              <w:t>Changes to reporting on market concentration</w:t>
            </w:r>
            <w:r w:rsidR="002C67BF">
              <w:rPr>
                <w:noProof/>
                <w:webHidden/>
              </w:rPr>
              <w:tab/>
            </w:r>
            <w:r w:rsidR="002C67BF">
              <w:rPr>
                <w:noProof/>
                <w:webHidden/>
              </w:rPr>
              <w:fldChar w:fldCharType="begin"/>
            </w:r>
            <w:r w:rsidR="002C67BF">
              <w:rPr>
                <w:noProof/>
                <w:webHidden/>
              </w:rPr>
              <w:instrText xml:space="preserve"> PAGEREF _Toc25916964 \h </w:instrText>
            </w:r>
            <w:r w:rsidR="002C67BF">
              <w:rPr>
                <w:noProof/>
                <w:webHidden/>
              </w:rPr>
            </w:r>
            <w:r w:rsidR="002C67BF">
              <w:rPr>
                <w:noProof/>
                <w:webHidden/>
              </w:rPr>
              <w:fldChar w:fldCharType="separate"/>
            </w:r>
            <w:r w:rsidR="002C67BF">
              <w:rPr>
                <w:noProof/>
                <w:webHidden/>
              </w:rPr>
              <w:t>2</w:t>
            </w:r>
            <w:r w:rsidR="002C67BF">
              <w:rPr>
                <w:noProof/>
                <w:webHidden/>
              </w:rPr>
              <w:fldChar w:fldCharType="end"/>
            </w:r>
          </w:hyperlink>
        </w:p>
        <w:p w14:paraId="7ED1E886" w14:textId="1DD4DD5F" w:rsidR="002C67BF" w:rsidRDefault="00BA5D31">
          <w:pPr>
            <w:pStyle w:val="TOC3"/>
            <w:tabs>
              <w:tab w:val="right" w:leader="dot" w:pos="10456"/>
            </w:tabs>
            <w:rPr>
              <w:rFonts w:asciiTheme="minorHAnsi" w:eastAsiaTheme="minorEastAsia" w:hAnsiTheme="minorHAnsi"/>
              <w:noProof/>
              <w:sz w:val="22"/>
              <w:lang w:eastAsia="en-AU"/>
            </w:rPr>
          </w:pPr>
          <w:hyperlink w:anchor="_Toc25916965" w:history="1">
            <w:r w:rsidR="002C67BF" w:rsidRPr="00216C3B">
              <w:rPr>
                <w:rStyle w:val="Hyperlink"/>
                <w:noProof/>
              </w:rPr>
              <w:t>Participants’ most current addresses now reported, rather than where they entered the scheme</w:t>
            </w:r>
            <w:r w:rsidR="002C67BF">
              <w:rPr>
                <w:noProof/>
                <w:webHidden/>
              </w:rPr>
              <w:tab/>
            </w:r>
            <w:r w:rsidR="002C67BF">
              <w:rPr>
                <w:noProof/>
                <w:webHidden/>
              </w:rPr>
              <w:fldChar w:fldCharType="begin"/>
            </w:r>
            <w:r w:rsidR="002C67BF">
              <w:rPr>
                <w:noProof/>
                <w:webHidden/>
              </w:rPr>
              <w:instrText xml:space="preserve"> PAGEREF _Toc25916965 \h </w:instrText>
            </w:r>
            <w:r w:rsidR="002C67BF">
              <w:rPr>
                <w:noProof/>
                <w:webHidden/>
              </w:rPr>
            </w:r>
            <w:r w:rsidR="002C67BF">
              <w:rPr>
                <w:noProof/>
                <w:webHidden/>
              </w:rPr>
              <w:fldChar w:fldCharType="separate"/>
            </w:r>
            <w:r w:rsidR="002C67BF">
              <w:rPr>
                <w:noProof/>
                <w:webHidden/>
              </w:rPr>
              <w:t>2</w:t>
            </w:r>
            <w:r w:rsidR="002C67BF">
              <w:rPr>
                <w:noProof/>
                <w:webHidden/>
              </w:rPr>
              <w:fldChar w:fldCharType="end"/>
            </w:r>
          </w:hyperlink>
        </w:p>
        <w:p w14:paraId="55D25C6E" w14:textId="07856485" w:rsidR="002C67BF" w:rsidRDefault="00BA5D31">
          <w:pPr>
            <w:pStyle w:val="TOC2"/>
            <w:tabs>
              <w:tab w:val="right" w:leader="dot" w:pos="10456"/>
            </w:tabs>
            <w:rPr>
              <w:rFonts w:asciiTheme="minorHAnsi" w:eastAsiaTheme="minorEastAsia" w:hAnsiTheme="minorHAnsi"/>
              <w:noProof/>
              <w:sz w:val="22"/>
              <w:lang w:eastAsia="en-AU"/>
            </w:rPr>
          </w:pPr>
          <w:hyperlink w:anchor="_Toc25916966" w:history="1">
            <w:r w:rsidR="002C67BF" w:rsidRPr="00216C3B">
              <w:rPr>
                <w:rStyle w:val="Hyperlink"/>
                <w:noProof/>
              </w:rPr>
              <w:t>About this document</w:t>
            </w:r>
            <w:r w:rsidR="002C67BF">
              <w:rPr>
                <w:noProof/>
                <w:webHidden/>
              </w:rPr>
              <w:tab/>
            </w:r>
            <w:r w:rsidR="002C67BF">
              <w:rPr>
                <w:noProof/>
                <w:webHidden/>
              </w:rPr>
              <w:fldChar w:fldCharType="begin"/>
            </w:r>
            <w:r w:rsidR="002C67BF">
              <w:rPr>
                <w:noProof/>
                <w:webHidden/>
              </w:rPr>
              <w:instrText xml:space="preserve"> PAGEREF _Toc25916966 \h </w:instrText>
            </w:r>
            <w:r w:rsidR="002C67BF">
              <w:rPr>
                <w:noProof/>
                <w:webHidden/>
              </w:rPr>
            </w:r>
            <w:r w:rsidR="002C67BF">
              <w:rPr>
                <w:noProof/>
                <w:webHidden/>
              </w:rPr>
              <w:fldChar w:fldCharType="separate"/>
            </w:r>
            <w:r w:rsidR="002C67BF">
              <w:rPr>
                <w:noProof/>
                <w:webHidden/>
              </w:rPr>
              <w:t>2</w:t>
            </w:r>
            <w:r w:rsidR="002C67BF">
              <w:rPr>
                <w:noProof/>
                <w:webHidden/>
              </w:rPr>
              <w:fldChar w:fldCharType="end"/>
            </w:r>
          </w:hyperlink>
        </w:p>
        <w:p w14:paraId="5DEE49B1" w14:textId="77777777" w:rsidR="007B0265" w:rsidRDefault="007060BE" w:rsidP="00E80FAD">
          <w:pPr>
            <w:pStyle w:val="TOC1"/>
            <w:tabs>
              <w:tab w:val="right" w:leader="dot" w:pos="10456"/>
            </w:tabs>
            <w:rPr>
              <w:noProof/>
            </w:rPr>
          </w:pPr>
          <w:r>
            <w:rPr>
              <w:noProof/>
            </w:rPr>
            <w:fldChar w:fldCharType="end"/>
          </w:r>
        </w:p>
      </w:sdtContent>
    </w:sdt>
    <w:bookmarkStart w:id="1" w:name="_Toc13752342" w:displacedByCustomXml="prev"/>
    <w:bookmarkStart w:id="2" w:name="_Toc13748872" w:displacedByCustomXml="prev"/>
    <w:p w14:paraId="198DE943" w14:textId="77777777" w:rsidR="00FA6BAB" w:rsidRDefault="005F3D23" w:rsidP="007B0265">
      <w:pPr>
        <w:pStyle w:val="Heading2"/>
      </w:pPr>
      <w:bookmarkStart w:id="3" w:name="_Toc25916961"/>
      <w:bookmarkEnd w:id="1"/>
      <w:r>
        <w:t>What’s new</w:t>
      </w:r>
      <w:bookmarkEnd w:id="3"/>
    </w:p>
    <w:p w14:paraId="0365CA21" w14:textId="499F1B17" w:rsidR="00ED6897" w:rsidRDefault="00CF113F" w:rsidP="007873DE">
      <w:pPr>
        <w:pStyle w:val="Heading3"/>
      </w:pPr>
      <w:bookmarkStart w:id="4" w:name="_Toc25916962"/>
      <w:r>
        <w:t xml:space="preserve">Changes </w:t>
      </w:r>
      <w:r w:rsidR="0031395A">
        <w:t>to reporting on</w:t>
      </w:r>
      <w:r w:rsidR="002977DA">
        <w:t xml:space="preserve"> </w:t>
      </w:r>
      <w:r w:rsidR="0031395A">
        <w:t>a</w:t>
      </w:r>
      <w:r w:rsidR="00AA5B73">
        <w:t>ctive provider</w:t>
      </w:r>
      <w:r w:rsidR="00604779">
        <w:t>s</w:t>
      </w:r>
      <w:r w:rsidR="002C67BF">
        <w:t xml:space="preserve"> data</w:t>
      </w:r>
      <w:bookmarkEnd w:id="4"/>
    </w:p>
    <w:p w14:paraId="73081074" w14:textId="4D830C0D" w:rsidR="002977DA" w:rsidRPr="005C7AFA" w:rsidRDefault="00ED6897" w:rsidP="005C7AFA">
      <w:r w:rsidRPr="005C7AFA">
        <w:t xml:space="preserve">Providers are considered active when they have received payment from the </w:t>
      </w:r>
      <w:r w:rsidR="002C67BF">
        <w:t>Agency</w:t>
      </w:r>
      <w:r w:rsidRPr="005C7AFA">
        <w:t xml:space="preserve"> for providing services to a participant</w:t>
      </w:r>
      <w:r w:rsidR="00E610D7" w:rsidRPr="005C7AFA">
        <w:t>.</w:t>
      </w:r>
      <w:r w:rsidR="00604779" w:rsidRPr="005C7AFA">
        <w:t xml:space="preserve"> </w:t>
      </w:r>
      <w:r w:rsidRPr="005C7AFA">
        <w:t>Previously</w:t>
      </w:r>
      <w:r w:rsidR="002C67BF">
        <w:t>,</w:t>
      </w:r>
      <w:r w:rsidR="00CF113F" w:rsidRPr="005C7AFA">
        <w:t xml:space="preserve"> we reported on numbers of providers who were registered even if they </w:t>
      </w:r>
      <w:r w:rsidR="00604779" w:rsidRPr="005C7AFA">
        <w:t>have</w:t>
      </w:r>
      <w:r w:rsidR="00CF113F" w:rsidRPr="005C7AFA">
        <w:t xml:space="preserve"> never</w:t>
      </w:r>
      <w:r w:rsidR="005B5279" w:rsidRPr="005C7AFA">
        <w:t xml:space="preserve"> </w:t>
      </w:r>
      <w:r w:rsidR="002977DA" w:rsidRPr="005C7AFA">
        <w:t xml:space="preserve">provided a service. </w:t>
      </w:r>
      <w:r w:rsidR="00604779" w:rsidRPr="005C7AFA">
        <w:t xml:space="preserve">The NDIA is now moving away from reporting on registered providers as an indicator of market maturity. </w:t>
      </w:r>
      <w:r w:rsidRPr="005C7AFA">
        <w:t xml:space="preserve">From </w:t>
      </w:r>
      <w:r w:rsidR="007D3430" w:rsidRPr="005C7AFA">
        <w:t>1 July 2019</w:t>
      </w:r>
      <w:r w:rsidRPr="005C7AFA">
        <w:t xml:space="preserve">, we are </w:t>
      </w:r>
      <w:r w:rsidR="002977DA" w:rsidRPr="005C7AFA">
        <w:t xml:space="preserve">only </w:t>
      </w:r>
      <w:r w:rsidRPr="005C7AFA">
        <w:t xml:space="preserve">reporting on providers that </w:t>
      </w:r>
      <w:r w:rsidR="00CF113F" w:rsidRPr="005C7AFA">
        <w:t xml:space="preserve">have been </w:t>
      </w:r>
      <w:r w:rsidR="002977DA" w:rsidRPr="005C7AFA">
        <w:t>active</w:t>
      </w:r>
      <w:r w:rsidR="00CF113F" w:rsidRPr="005C7AFA">
        <w:t xml:space="preserve"> at some point</w:t>
      </w:r>
      <w:r w:rsidR="002977DA" w:rsidRPr="005C7AFA">
        <w:t xml:space="preserve">, and </w:t>
      </w:r>
      <w:r w:rsidR="00740E5F" w:rsidRPr="005C7AFA">
        <w:t xml:space="preserve">we are separating </w:t>
      </w:r>
      <w:r w:rsidR="00604779" w:rsidRPr="005C7AFA">
        <w:t>those</w:t>
      </w:r>
      <w:r w:rsidR="00740E5F" w:rsidRPr="005C7AFA">
        <w:t xml:space="preserve"> using </w:t>
      </w:r>
      <w:r w:rsidR="002977DA" w:rsidRPr="005C7AFA">
        <w:t xml:space="preserve">two </w:t>
      </w:r>
      <w:r w:rsidR="00740E5F" w:rsidRPr="005C7AFA">
        <w:t>time</w:t>
      </w:r>
      <w:r w:rsidR="002977DA" w:rsidRPr="005C7AFA">
        <w:t>frame</w:t>
      </w:r>
      <w:r w:rsidR="00604779" w:rsidRPr="005C7AFA">
        <w:t xml:space="preserve"> filters</w:t>
      </w:r>
      <w:r w:rsidR="00FB4266">
        <w:t>:</w:t>
      </w:r>
    </w:p>
    <w:p w14:paraId="176C2263" w14:textId="77777777" w:rsidR="002977DA" w:rsidRPr="005C7AFA" w:rsidRDefault="00A12583" w:rsidP="005C7AFA">
      <w:pPr>
        <w:pStyle w:val="ListParagraph"/>
        <w:numPr>
          <w:ilvl w:val="0"/>
          <w:numId w:val="18"/>
        </w:numPr>
        <w:rPr>
          <w:rFonts w:cs="Arial"/>
        </w:rPr>
      </w:pPr>
      <w:r w:rsidRPr="005C7AFA">
        <w:rPr>
          <w:rFonts w:cs="Arial"/>
        </w:rPr>
        <w:t>Using t</w:t>
      </w:r>
      <w:r w:rsidR="002977DA" w:rsidRPr="005C7AFA">
        <w:rPr>
          <w:rFonts w:cs="Arial"/>
        </w:rPr>
        <w:t>he ‘</w:t>
      </w:r>
      <w:r w:rsidR="00CF113F" w:rsidRPr="005C7AFA">
        <w:rPr>
          <w:rFonts w:cs="Arial"/>
          <w:b/>
        </w:rPr>
        <w:t>Quarter</w:t>
      </w:r>
      <w:r w:rsidR="002977DA" w:rsidRPr="005C7AFA">
        <w:rPr>
          <w:rFonts w:cs="Arial"/>
          <w:b/>
        </w:rPr>
        <w:t>’</w:t>
      </w:r>
      <w:r w:rsidR="002977DA" w:rsidRPr="005C7AFA">
        <w:rPr>
          <w:rFonts w:cs="Arial"/>
        </w:rPr>
        <w:t xml:space="preserve"> filter will provide information on providers who received payments in the most recent </w:t>
      </w:r>
      <w:r w:rsidR="00604779" w:rsidRPr="005C7AFA">
        <w:rPr>
          <w:rFonts w:cs="Arial"/>
        </w:rPr>
        <w:t xml:space="preserve">reported </w:t>
      </w:r>
      <w:r w:rsidR="002977DA" w:rsidRPr="005C7AFA">
        <w:rPr>
          <w:rFonts w:cs="Arial"/>
        </w:rPr>
        <w:t>quarter.</w:t>
      </w:r>
    </w:p>
    <w:p w14:paraId="2A6FE757" w14:textId="77777777" w:rsidR="002977DA" w:rsidRPr="005C7AFA" w:rsidRDefault="002977DA" w:rsidP="005C7AFA">
      <w:pPr>
        <w:pStyle w:val="ListParagraph"/>
        <w:numPr>
          <w:ilvl w:val="0"/>
          <w:numId w:val="18"/>
        </w:numPr>
        <w:rPr>
          <w:rFonts w:cs="Arial"/>
        </w:rPr>
      </w:pPr>
      <w:r w:rsidRPr="005C7AFA">
        <w:rPr>
          <w:rFonts w:cs="Arial"/>
        </w:rPr>
        <w:t>The ‘</w:t>
      </w:r>
      <w:r w:rsidRPr="005C7AFA">
        <w:rPr>
          <w:rFonts w:cs="Arial"/>
          <w:b/>
        </w:rPr>
        <w:t>Ever’</w:t>
      </w:r>
      <w:r w:rsidRPr="005C7AFA">
        <w:rPr>
          <w:rFonts w:cs="Arial"/>
        </w:rPr>
        <w:t xml:space="preserve"> filter will provide information on </w:t>
      </w:r>
      <w:r w:rsidR="00CF113F" w:rsidRPr="005C7AFA">
        <w:rPr>
          <w:rFonts w:cs="Arial"/>
        </w:rPr>
        <w:t>providers</w:t>
      </w:r>
      <w:r w:rsidRPr="005C7AFA">
        <w:rPr>
          <w:rFonts w:cs="Arial"/>
        </w:rPr>
        <w:t xml:space="preserve"> who have ever received a payment.</w:t>
      </w:r>
    </w:p>
    <w:p w14:paraId="220AB100" w14:textId="08E7F907" w:rsidR="00604779" w:rsidRPr="005C7AFA" w:rsidRDefault="00ED6897" w:rsidP="005C7AFA">
      <w:pPr>
        <w:rPr>
          <w:rFonts w:cs="Arial"/>
        </w:rPr>
      </w:pPr>
      <w:r w:rsidRPr="005C7AFA">
        <w:rPr>
          <w:rFonts w:cs="Arial"/>
        </w:rPr>
        <w:t xml:space="preserve">This will </w:t>
      </w:r>
      <w:r w:rsidR="00E610D7" w:rsidRPr="005C7AFA">
        <w:rPr>
          <w:rFonts w:cs="Arial"/>
        </w:rPr>
        <w:t>provide</w:t>
      </w:r>
      <w:r w:rsidRPr="005C7AFA">
        <w:rPr>
          <w:rFonts w:cs="Arial"/>
        </w:rPr>
        <w:t xml:space="preserve"> updated information on active providers </w:t>
      </w:r>
      <w:r w:rsidR="00FB4266">
        <w:rPr>
          <w:rFonts w:cs="Arial"/>
        </w:rPr>
        <w:t>by</w:t>
      </w:r>
      <w:r w:rsidRPr="005C7AFA">
        <w:rPr>
          <w:rFonts w:cs="Arial"/>
        </w:rPr>
        <w:t xml:space="preserve"> region, support</w:t>
      </w:r>
      <w:r w:rsidR="00FB4266">
        <w:rPr>
          <w:rFonts w:cs="Arial"/>
        </w:rPr>
        <w:t xml:space="preserve"> class</w:t>
      </w:r>
      <w:r w:rsidRPr="005C7AFA">
        <w:rPr>
          <w:rFonts w:cs="Arial"/>
        </w:rPr>
        <w:t>, and age group of interest.</w:t>
      </w:r>
    </w:p>
    <w:p w14:paraId="6F782D50" w14:textId="13C549F8" w:rsidR="007873DE" w:rsidRPr="005C7AFA" w:rsidRDefault="00604779" w:rsidP="005C7AFA">
      <w:pPr>
        <w:rPr>
          <w:rFonts w:cs="Arial"/>
        </w:rPr>
      </w:pPr>
      <w:r w:rsidRPr="005C7AFA">
        <w:rPr>
          <w:rFonts w:cs="Arial"/>
        </w:rPr>
        <w:t>The latest downloadable data available on the NDIS website includes provider data from previous quarters using the updated definition</w:t>
      </w:r>
      <w:r w:rsidR="00BA5D31">
        <w:rPr>
          <w:rFonts w:cs="Arial"/>
        </w:rPr>
        <w:t>.</w:t>
      </w:r>
    </w:p>
    <w:p w14:paraId="1008C63F" w14:textId="52F79250" w:rsidR="00B42A12" w:rsidRPr="00B42A12" w:rsidRDefault="005A7E25" w:rsidP="005C7AFA">
      <w:pPr>
        <w:pStyle w:val="Heading3"/>
        <w:spacing w:before="240"/>
      </w:pPr>
      <w:bookmarkStart w:id="5" w:name="_Toc25916963"/>
      <w:r>
        <w:t xml:space="preserve">Change to </w:t>
      </w:r>
      <w:r w:rsidR="0031395A">
        <w:t xml:space="preserve">reporting on </w:t>
      </w:r>
      <w:r>
        <w:t>a</w:t>
      </w:r>
      <w:r w:rsidR="007873DE">
        <w:t>ctive participants</w:t>
      </w:r>
      <w:bookmarkEnd w:id="5"/>
    </w:p>
    <w:p w14:paraId="34A9CF0E" w14:textId="39243CE4" w:rsidR="005A7E25" w:rsidRPr="005C7AFA" w:rsidRDefault="00213C4D" w:rsidP="005C7AFA">
      <w:pPr>
        <w:spacing w:after="0"/>
        <w:textAlignment w:val="center"/>
        <w:rPr>
          <w:rFonts w:cs="Arial"/>
        </w:rPr>
      </w:pPr>
      <w:r w:rsidRPr="005C7AFA">
        <w:rPr>
          <w:rFonts w:cs="Arial"/>
        </w:rPr>
        <w:t xml:space="preserve">Participants are considered active by the NDIA when they have </w:t>
      </w:r>
      <w:r w:rsidR="00FB4266">
        <w:rPr>
          <w:rFonts w:cs="Arial"/>
        </w:rPr>
        <w:t>a current</w:t>
      </w:r>
      <w:r w:rsidRPr="005C7AFA">
        <w:rPr>
          <w:rFonts w:cs="Arial"/>
        </w:rPr>
        <w:t xml:space="preserve"> </w:t>
      </w:r>
      <w:r w:rsidR="00FB4266">
        <w:rPr>
          <w:rFonts w:cs="Arial"/>
        </w:rPr>
        <w:t>plan</w:t>
      </w:r>
      <w:r w:rsidRPr="005C7AFA">
        <w:rPr>
          <w:rFonts w:cs="Arial"/>
        </w:rPr>
        <w:t xml:space="preserve"> at the date of reporting. </w:t>
      </w:r>
    </w:p>
    <w:p w14:paraId="308ADE46" w14:textId="177B9CB7" w:rsidR="005A7E25" w:rsidRPr="005C7AFA" w:rsidRDefault="00213C4D" w:rsidP="005C7AFA">
      <w:pPr>
        <w:spacing w:after="0"/>
        <w:textAlignment w:val="center"/>
        <w:rPr>
          <w:rFonts w:cs="Arial"/>
        </w:rPr>
      </w:pPr>
      <w:r w:rsidRPr="005C7AFA">
        <w:rPr>
          <w:rFonts w:cs="Arial"/>
        </w:rPr>
        <w:t>Previously we reported</w:t>
      </w:r>
      <w:r w:rsidR="0031395A">
        <w:rPr>
          <w:rFonts w:cs="Arial"/>
        </w:rPr>
        <w:t xml:space="preserve"> the following data cubes</w:t>
      </w:r>
      <w:r w:rsidR="005A7E25" w:rsidRPr="005C7AFA">
        <w:rPr>
          <w:rFonts w:cs="Arial"/>
        </w:rPr>
        <w:t xml:space="preserve"> </w:t>
      </w:r>
      <w:r w:rsidR="0031395A">
        <w:rPr>
          <w:rFonts w:cs="Arial"/>
        </w:rPr>
        <w:t xml:space="preserve">based </w:t>
      </w:r>
      <w:r w:rsidR="005A7E25" w:rsidRPr="005C7AFA">
        <w:rPr>
          <w:rFonts w:cs="Arial"/>
        </w:rPr>
        <w:t>on the number of participants who have ever received an approved plan</w:t>
      </w:r>
      <w:r w:rsidR="00BA5D31">
        <w:rPr>
          <w:rFonts w:cs="Arial"/>
        </w:rPr>
        <w:t>,</w:t>
      </w:r>
      <w:r w:rsidR="005A7E25" w:rsidRPr="005C7AFA">
        <w:rPr>
          <w:rFonts w:cs="Arial"/>
        </w:rPr>
        <w:t xml:space="preserve"> which cou</w:t>
      </w:r>
      <w:r w:rsidR="002C67BF">
        <w:rPr>
          <w:rFonts w:cs="Arial"/>
        </w:rPr>
        <w:t>ld include participants who exi</w:t>
      </w:r>
      <w:r w:rsidR="005A7E25" w:rsidRPr="005C7AFA">
        <w:rPr>
          <w:rFonts w:cs="Arial"/>
        </w:rPr>
        <w:t>ted the Scheme.</w:t>
      </w:r>
    </w:p>
    <w:p w14:paraId="1B1543FD" w14:textId="15C5592D" w:rsidR="005A7E25" w:rsidRPr="005C7AFA" w:rsidRDefault="005A7E25" w:rsidP="005C7AFA">
      <w:pPr>
        <w:spacing w:after="0"/>
        <w:textAlignment w:val="center"/>
        <w:rPr>
          <w:rFonts w:cs="Arial"/>
        </w:rPr>
      </w:pPr>
      <w:r w:rsidRPr="005C7AFA">
        <w:rPr>
          <w:rFonts w:cs="Arial"/>
        </w:rPr>
        <w:t xml:space="preserve">The data in the following data cubes are now based on </w:t>
      </w:r>
      <w:r w:rsidR="0031395A">
        <w:rPr>
          <w:rFonts w:cs="Arial"/>
        </w:rPr>
        <w:t>active participants at the date of reporting</w:t>
      </w:r>
    </w:p>
    <w:p w14:paraId="23A64D44" w14:textId="77777777" w:rsidR="005A7E25" w:rsidRPr="005C7AFA" w:rsidRDefault="005A7E25" w:rsidP="00FB4266">
      <w:pPr>
        <w:pStyle w:val="ListParagraph"/>
        <w:numPr>
          <w:ilvl w:val="0"/>
          <w:numId w:val="17"/>
        </w:numPr>
        <w:spacing w:after="0"/>
        <w:textAlignment w:val="center"/>
        <w:rPr>
          <w:rFonts w:cs="Arial"/>
        </w:rPr>
      </w:pPr>
      <w:r w:rsidRPr="005C7AFA">
        <w:rPr>
          <w:rFonts w:cs="Arial"/>
        </w:rPr>
        <w:t>Participants split by Commonwealth Electoral Divisions (CED)</w:t>
      </w:r>
    </w:p>
    <w:p w14:paraId="3A416169" w14:textId="77777777" w:rsidR="005A7E25" w:rsidRPr="005C7AFA" w:rsidRDefault="005A7E25" w:rsidP="00FB4266">
      <w:pPr>
        <w:pStyle w:val="ListParagraph"/>
        <w:numPr>
          <w:ilvl w:val="0"/>
          <w:numId w:val="17"/>
        </w:numPr>
        <w:spacing w:after="0"/>
        <w:textAlignment w:val="center"/>
        <w:rPr>
          <w:rFonts w:cs="Arial"/>
        </w:rPr>
      </w:pPr>
      <w:r w:rsidRPr="005C7AFA">
        <w:rPr>
          <w:rFonts w:cs="Arial"/>
        </w:rPr>
        <w:t>Participants split by Statistical Area 2 (SA2)</w:t>
      </w:r>
    </w:p>
    <w:p w14:paraId="7C565FD8" w14:textId="15AEE39F" w:rsidR="005537DE" w:rsidRPr="005C7AFA" w:rsidRDefault="005A7E25" w:rsidP="00FB4266">
      <w:pPr>
        <w:pStyle w:val="ListParagraph"/>
        <w:numPr>
          <w:ilvl w:val="0"/>
          <w:numId w:val="17"/>
        </w:numPr>
        <w:textAlignment w:val="center"/>
        <w:rPr>
          <w:rFonts w:cs="Arial"/>
        </w:rPr>
      </w:pPr>
      <w:r w:rsidRPr="005C7AFA">
        <w:rPr>
          <w:rFonts w:cs="Arial"/>
        </w:rPr>
        <w:lastRenderedPageBreak/>
        <w:t>Participants split by Local Government Areas (LGA)</w:t>
      </w:r>
    </w:p>
    <w:p w14:paraId="18FC3EB9" w14:textId="49B1A8B9" w:rsidR="00DD7924" w:rsidRDefault="00DD7924" w:rsidP="005C7AFA">
      <w:pPr>
        <w:pStyle w:val="Heading3"/>
        <w:spacing w:before="240"/>
      </w:pPr>
      <w:bookmarkStart w:id="6" w:name="_Toc25916964"/>
      <w:r>
        <w:t>Changes to reporting on market concentration</w:t>
      </w:r>
      <w:bookmarkEnd w:id="6"/>
    </w:p>
    <w:p w14:paraId="3FA2967A" w14:textId="78573A78" w:rsidR="00DD7924" w:rsidRDefault="00DD7924" w:rsidP="00DD7924">
      <w:r>
        <w:t xml:space="preserve">Market concentration data cube </w:t>
      </w:r>
      <w:r w:rsidR="002C67BF">
        <w:t xml:space="preserve">is </w:t>
      </w:r>
      <w:r>
        <w:t xml:space="preserve">now </w:t>
      </w:r>
      <w:r w:rsidR="002C67BF">
        <w:t>based on</w:t>
      </w:r>
      <w:r>
        <w:t xml:space="preserve"> payments made</w:t>
      </w:r>
      <w:r w:rsidR="002C67BF">
        <w:t xml:space="preserve"> by the NDIA</w:t>
      </w:r>
      <w:r>
        <w:t xml:space="preserve"> during the reporting quarter instead of supports received during the reporting quarter.</w:t>
      </w:r>
    </w:p>
    <w:p w14:paraId="4F70ED12" w14:textId="77777777" w:rsidR="002C67BF" w:rsidRDefault="002C67BF" w:rsidP="002C67BF">
      <w:pPr>
        <w:pStyle w:val="Heading3"/>
        <w:spacing w:before="240"/>
      </w:pPr>
      <w:bookmarkStart w:id="7" w:name="_Toc25916965"/>
      <w:r>
        <w:t>Participants’ most current addresses now reported, rather than where they entered the scheme</w:t>
      </w:r>
      <w:bookmarkEnd w:id="7"/>
    </w:p>
    <w:p w14:paraId="3A43A17C" w14:textId="608A11ED" w:rsidR="002C67BF" w:rsidRPr="005C7AFA" w:rsidRDefault="002C67BF" w:rsidP="002C67BF">
      <w:pPr>
        <w:spacing w:after="0"/>
        <w:textAlignment w:val="center"/>
        <w:rPr>
          <w:rFonts w:cs="Arial"/>
        </w:rPr>
      </w:pPr>
      <w:r w:rsidRPr="005C7AFA">
        <w:rPr>
          <w:rFonts w:cs="Arial"/>
          <w:color w:val="000000"/>
        </w:rPr>
        <w:t>The September 2019 results may not be directly comparable to the previous downloaded data as the State and Territory groupings are now based on the participant's latest residential address, instead of their address at the time they received their first plan</w:t>
      </w:r>
      <w:r w:rsidR="00BA5D31">
        <w:rPr>
          <w:rFonts w:cs="Arial"/>
          <w:color w:val="000000"/>
        </w:rPr>
        <w:t>.</w:t>
      </w:r>
    </w:p>
    <w:p w14:paraId="4F96D2A2" w14:textId="254F2C7E" w:rsidR="002C67BF" w:rsidRPr="005C7AFA" w:rsidRDefault="002C67BF" w:rsidP="002C67BF">
      <w:pPr>
        <w:textAlignment w:val="center"/>
        <w:rPr>
          <w:rFonts w:cs="Arial"/>
        </w:rPr>
      </w:pPr>
      <w:r w:rsidRPr="005C7AFA">
        <w:rPr>
          <w:rFonts w:cs="Arial"/>
          <w:color w:val="000000"/>
        </w:rPr>
        <w:t>The latest downloadable data on the website contains data for previous quarters as well</w:t>
      </w:r>
      <w:r w:rsidR="00BA5D31">
        <w:rPr>
          <w:rFonts w:cs="Arial"/>
          <w:color w:val="000000"/>
        </w:rPr>
        <w:t>,</w:t>
      </w:r>
      <w:r w:rsidRPr="005C7AFA">
        <w:rPr>
          <w:rFonts w:cs="Arial"/>
          <w:color w:val="000000"/>
        </w:rPr>
        <w:t xml:space="preserve"> based on participant’s residential address. </w:t>
      </w:r>
      <w:r w:rsidRPr="005C7AFA">
        <w:rPr>
          <w:rFonts w:cs="Arial"/>
        </w:rPr>
        <w:t>This change impacts all tables and cubes with geographical information.</w:t>
      </w:r>
    </w:p>
    <w:p w14:paraId="163A33B4" w14:textId="77777777" w:rsidR="002C67BF" w:rsidRPr="00DD7924" w:rsidRDefault="002C67BF" w:rsidP="00DD7924">
      <w:bookmarkStart w:id="8" w:name="_GoBack"/>
      <w:bookmarkEnd w:id="8"/>
    </w:p>
    <w:p w14:paraId="726F6221" w14:textId="17F8584F" w:rsidR="000B7A2E" w:rsidRDefault="000B7A2E" w:rsidP="003925A7">
      <w:pPr>
        <w:pStyle w:val="Heading2"/>
        <w:spacing w:before="240"/>
      </w:pPr>
      <w:bookmarkStart w:id="9" w:name="_Toc13748873"/>
      <w:bookmarkStart w:id="10" w:name="_Toc13752024"/>
      <w:bookmarkStart w:id="11" w:name="_Toc25916966"/>
      <w:bookmarkEnd w:id="2"/>
      <w:r>
        <w:t>About this document</w:t>
      </w:r>
      <w:bookmarkEnd w:id="9"/>
      <w:bookmarkEnd w:id="10"/>
      <w:bookmarkEnd w:id="11"/>
    </w:p>
    <w:p w14:paraId="36149110" w14:textId="77777777" w:rsidR="000B7A2E" w:rsidRPr="00F4697D" w:rsidRDefault="000B7A2E" w:rsidP="000B7A2E">
      <w:pPr>
        <w:spacing w:before="120"/>
        <w:rPr>
          <w:b/>
        </w:rPr>
      </w:pPr>
      <w:r>
        <w:rPr>
          <w:b/>
        </w:rPr>
        <w:t>Approved</w:t>
      </w:r>
      <w:r w:rsidRPr="00F4697D">
        <w:rPr>
          <w:b/>
        </w:rPr>
        <w:t>:</w:t>
      </w:r>
      <w:r>
        <w:rPr>
          <w:b/>
        </w:rPr>
        <w:t xml:space="preserve"> </w:t>
      </w:r>
      <w:r w:rsidR="005F3D23">
        <w:t>December</w:t>
      </w:r>
      <w:r w:rsidR="00092863">
        <w:t xml:space="preserve"> 2019</w:t>
      </w:r>
    </w:p>
    <w:p w14:paraId="739526BF" w14:textId="2BF3BB98" w:rsidR="007B0265" w:rsidRPr="00C73F6E" w:rsidRDefault="000B7A2E" w:rsidP="005537DE">
      <w:r w:rsidRPr="00F4697D">
        <w:rPr>
          <w:b/>
        </w:rPr>
        <w:t>Contact:</w:t>
      </w:r>
      <w:r>
        <w:rPr>
          <w:b/>
        </w:rPr>
        <w:t xml:space="preserve"> </w:t>
      </w:r>
      <w:hyperlink r:id="rId11" w:history="1">
        <w:r w:rsidR="003E336A" w:rsidRPr="00125EF2">
          <w:rPr>
            <w:rStyle w:val="Hyperlink"/>
          </w:rPr>
          <w:t>scheme.actuary@ndis.gov.au</w:t>
        </w:r>
      </w:hyperlink>
    </w:p>
    <w:sectPr w:rsidR="007B0265" w:rsidRPr="00C73F6E" w:rsidSect="00FB4266">
      <w:headerReference w:type="default" r:id="rId12"/>
      <w:footerReference w:type="default" r:id="rId13"/>
      <w:headerReference w:type="first" r:id="rId14"/>
      <w:foot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F5456" w14:textId="77777777" w:rsidR="001F4210" w:rsidRDefault="001F4210" w:rsidP="002679FC">
      <w:r>
        <w:separator/>
      </w:r>
    </w:p>
  </w:endnote>
  <w:endnote w:type="continuationSeparator" w:id="0">
    <w:p w14:paraId="5EDC30C0" w14:textId="77777777" w:rsidR="001F4210" w:rsidRDefault="001F4210"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7C270" w14:textId="5D08D51C" w:rsidR="003C3D27" w:rsidRPr="002679FC" w:rsidRDefault="00C73F6E" w:rsidP="00D0019B">
    <w:pPr>
      <w:pStyle w:val="Footer"/>
      <w:tabs>
        <w:tab w:val="clear" w:pos="4513"/>
        <w:tab w:val="clear" w:pos="9026"/>
        <w:tab w:val="right" w:pos="10065"/>
      </w:tabs>
      <w:rPr>
        <w:noProof/>
        <w:color w:val="652F76"/>
      </w:rPr>
    </w:pPr>
    <w:r>
      <w:rPr>
        <w:rFonts w:cs="Arial"/>
      </w:rPr>
      <w:t xml:space="preserve">December </w:t>
    </w:r>
    <w:r w:rsidR="00F440DE">
      <w:rPr>
        <w:rFonts w:cs="Arial"/>
      </w:rPr>
      <w:t>2019</w:t>
    </w:r>
    <w:r w:rsidR="00D0019B">
      <w:rPr>
        <w:noProof/>
        <w:lang w:eastAsia="en-AU"/>
      </w:rPr>
      <w:tab/>
    </w:r>
    <w:sdt>
      <w:sdtPr>
        <w:id w:val="930394150"/>
        <w:docPartObj>
          <w:docPartGallery w:val="Page Numbers (Bottom of Page)"/>
          <w:docPartUnique/>
        </w:docPartObj>
      </w:sdtPr>
      <w:sdtEndPr>
        <w:rPr>
          <w:noProof/>
          <w:color w:val="652F76"/>
        </w:rPr>
      </w:sdtEndPr>
      <w:sdtContent>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sidR="00BA5D31">
          <w:rPr>
            <w:noProof/>
            <w:color w:val="652F76"/>
          </w:rPr>
          <w:t>2</w:t>
        </w:r>
        <w:r w:rsidR="002679FC" w:rsidRPr="002679FC">
          <w:rPr>
            <w:noProof/>
            <w:color w:val="652F7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87B4C" w14:textId="7C01CE88" w:rsidR="003C3D27" w:rsidRPr="004D5F80" w:rsidRDefault="00AD241C" w:rsidP="00804131">
    <w:pPr>
      <w:pStyle w:val="Footer"/>
      <w:tabs>
        <w:tab w:val="clear" w:pos="4513"/>
        <w:tab w:val="clear" w:pos="9026"/>
        <w:tab w:val="right" w:pos="9923"/>
      </w:tabs>
      <w:rPr>
        <w:noProof/>
        <w:color w:val="652F76"/>
      </w:rPr>
    </w:pPr>
    <w:r>
      <w:rPr>
        <w:noProof/>
        <w:lang w:eastAsia="en-AU"/>
      </w:rPr>
      <w:drawing>
        <wp:inline distT="0" distB="0" distL="0" distR="0" wp14:anchorId="40A6C228" wp14:editId="58733D64">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docPartObj>
          <w:docPartGallery w:val="Page Numbers (Bottom of Page)"/>
          <w:docPartUnique/>
        </w:docPartObj>
      </w:sdtPr>
      <w:sdtEndPr>
        <w:rPr>
          <w:noProof/>
          <w:color w:val="652F76"/>
        </w:rPr>
      </w:sdtEndPr>
      <w:sdtContent>
        <w:r>
          <w:tab/>
        </w:r>
        <w:r w:rsidR="003C3D27" w:rsidRPr="002679FC">
          <w:rPr>
            <w:color w:val="652F76"/>
          </w:rPr>
          <w:fldChar w:fldCharType="begin"/>
        </w:r>
        <w:r w:rsidR="003C3D27" w:rsidRPr="002679FC">
          <w:rPr>
            <w:color w:val="652F76"/>
          </w:rPr>
          <w:instrText xml:space="preserve"> PAGE   \* MERGEFORMAT </w:instrText>
        </w:r>
        <w:r w:rsidR="003C3D27" w:rsidRPr="002679FC">
          <w:rPr>
            <w:color w:val="652F76"/>
          </w:rPr>
          <w:fldChar w:fldCharType="separate"/>
        </w:r>
        <w:r w:rsidR="00BA5D31">
          <w:rPr>
            <w:noProof/>
            <w:color w:val="652F76"/>
          </w:rPr>
          <w:t>1</w:t>
        </w:r>
        <w:r w:rsidR="003C3D27" w:rsidRPr="002679FC">
          <w:rPr>
            <w:noProof/>
            <w:color w:val="652F76"/>
          </w:rPr>
          <w:fldChar w:fldCharType="end"/>
        </w:r>
        <w:r>
          <w:rPr>
            <w:noProof/>
            <w:color w:val="652F76"/>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85FB1" w14:textId="77777777" w:rsidR="001F4210" w:rsidRDefault="001F4210" w:rsidP="002679FC">
      <w:r>
        <w:separator/>
      </w:r>
    </w:p>
  </w:footnote>
  <w:footnote w:type="continuationSeparator" w:id="0">
    <w:p w14:paraId="5A2E23C0" w14:textId="77777777" w:rsidR="001F4210" w:rsidRDefault="001F4210"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5BC26" w14:textId="77777777" w:rsidR="003C3D27" w:rsidRDefault="003C3D27" w:rsidP="003C3D2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DE9DB" w14:textId="77777777" w:rsidR="004D5F80" w:rsidRPr="00F4697D" w:rsidRDefault="0006477E" w:rsidP="00AD241C">
    <w:pPr>
      <w:spacing w:before="120"/>
      <w:jc w:val="right"/>
      <w:rPr>
        <w:b/>
      </w:rPr>
    </w:pPr>
    <w:r>
      <w:rPr>
        <w:noProof/>
        <w:lang w:eastAsia="en-AU"/>
      </w:rPr>
      <w:drawing>
        <wp:inline distT="0" distB="0" distL="0" distR="0" wp14:anchorId="3F2D7C4C" wp14:editId="4F0652E4">
          <wp:extent cx="1825625" cy="953770"/>
          <wp:effectExtent l="0" t="0" r="3175" b="0"/>
          <wp:docPr id="5" name="Picture 5" descr="This picture is the ndis logo in the agency brand colours of purple, white and green. It is the most commonly used of the agency logo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p w14:paraId="76D16F6A" w14:textId="77777777" w:rsidR="004D5F80" w:rsidRPr="00F4697D" w:rsidRDefault="004D5F80" w:rsidP="004D5F80">
    <w:pPr>
      <w:rPr>
        <w:b/>
      </w:rPr>
    </w:pPr>
  </w:p>
  <w:p w14:paraId="5BAC3542" w14:textId="77777777" w:rsidR="003C3D27" w:rsidRDefault="003C3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C17"/>
    <w:multiLevelType w:val="hybridMultilevel"/>
    <w:tmpl w:val="4A1C9D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F837CA"/>
    <w:multiLevelType w:val="hybridMultilevel"/>
    <w:tmpl w:val="03066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525F05"/>
    <w:multiLevelType w:val="multilevel"/>
    <w:tmpl w:val="287C6800"/>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3" w15:restartNumberingAfterBreak="0">
    <w:nsid w:val="1D8B249A"/>
    <w:multiLevelType w:val="hybridMultilevel"/>
    <w:tmpl w:val="710EA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D91020"/>
    <w:multiLevelType w:val="hybridMultilevel"/>
    <w:tmpl w:val="6FC8A66C"/>
    <w:lvl w:ilvl="0" w:tplc="092056F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ED13D6A"/>
    <w:multiLevelType w:val="hybridMultilevel"/>
    <w:tmpl w:val="ACACE60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8B0E00"/>
    <w:multiLevelType w:val="hybridMultilevel"/>
    <w:tmpl w:val="E43091B4"/>
    <w:lvl w:ilvl="0" w:tplc="8C12FBF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B126EC"/>
    <w:multiLevelType w:val="hybridMultilevel"/>
    <w:tmpl w:val="B30EB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69075E"/>
    <w:multiLevelType w:val="hybridMultilevel"/>
    <w:tmpl w:val="519EB126"/>
    <w:lvl w:ilvl="0" w:tplc="0C090001">
      <w:start w:val="1"/>
      <w:numFmt w:val="bullet"/>
      <w:lvlText w:val=""/>
      <w:lvlJc w:val="left"/>
      <w:pPr>
        <w:ind w:left="-324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360" w:hanging="360"/>
      </w:pPr>
      <w:rPr>
        <w:rFonts w:ascii="Wingdings" w:hAnsi="Wingdings" w:hint="default"/>
      </w:rPr>
    </w:lvl>
    <w:lvl w:ilvl="6" w:tplc="0C090001" w:tentative="1">
      <w:start w:val="1"/>
      <w:numFmt w:val="bullet"/>
      <w:lvlText w:val=""/>
      <w:lvlJc w:val="left"/>
      <w:pPr>
        <w:ind w:left="1080" w:hanging="360"/>
      </w:pPr>
      <w:rPr>
        <w:rFonts w:ascii="Symbol" w:hAnsi="Symbol" w:hint="default"/>
      </w:rPr>
    </w:lvl>
    <w:lvl w:ilvl="7" w:tplc="0C090003" w:tentative="1">
      <w:start w:val="1"/>
      <w:numFmt w:val="bullet"/>
      <w:lvlText w:val="o"/>
      <w:lvlJc w:val="left"/>
      <w:pPr>
        <w:ind w:left="1800" w:hanging="360"/>
      </w:pPr>
      <w:rPr>
        <w:rFonts w:ascii="Courier New" w:hAnsi="Courier New" w:cs="Courier New" w:hint="default"/>
      </w:rPr>
    </w:lvl>
    <w:lvl w:ilvl="8" w:tplc="0C090005" w:tentative="1">
      <w:start w:val="1"/>
      <w:numFmt w:val="bullet"/>
      <w:lvlText w:val=""/>
      <w:lvlJc w:val="left"/>
      <w:pPr>
        <w:ind w:left="2520" w:hanging="360"/>
      </w:pPr>
      <w:rPr>
        <w:rFonts w:ascii="Wingdings" w:hAnsi="Wingdings" w:hint="default"/>
      </w:rPr>
    </w:lvl>
  </w:abstractNum>
  <w:abstractNum w:abstractNumId="10" w15:restartNumberingAfterBreak="0">
    <w:nsid w:val="4B0E0C46"/>
    <w:multiLevelType w:val="hybridMultilevel"/>
    <w:tmpl w:val="FBB6177A"/>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2A00028"/>
    <w:multiLevelType w:val="hybridMultilevel"/>
    <w:tmpl w:val="4268F156"/>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DAD118A"/>
    <w:multiLevelType w:val="hybridMultilevel"/>
    <w:tmpl w:val="FA1A632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41F45B1"/>
    <w:multiLevelType w:val="multilevel"/>
    <w:tmpl w:val="5636B65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071176"/>
    <w:multiLevelType w:val="hybridMultilevel"/>
    <w:tmpl w:val="2BB65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553723"/>
    <w:multiLevelType w:val="hybridMultilevel"/>
    <w:tmpl w:val="F0C08168"/>
    <w:lvl w:ilvl="0" w:tplc="5D54F1D8">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9131C99"/>
    <w:multiLevelType w:val="hybridMultilevel"/>
    <w:tmpl w:val="949CB15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DD0706C"/>
    <w:multiLevelType w:val="multilevel"/>
    <w:tmpl w:val="8354B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6"/>
  </w:num>
  <w:num w:numId="4">
    <w:abstractNumId w:val="9"/>
  </w:num>
  <w:num w:numId="5">
    <w:abstractNumId w:val="10"/>
  </w:num>
  <w:num w:numId="6">
    <w:abstractNumId w:val="16"/>
  </w:num>
  <w:num w:numId="7">
    <w:abstractNumId w:val="15"/>
  </w:num>
  <w:num w:numId="8">
    <w:abstractNumId w:val="5"/>
  </w:num>
  <w:num w:numId="9">
    <w:abstractNumId w:val="11"/>
  </w:num>
  <w:num w:numId="10">
    <w:abstractNumId w:val="14"/>
  </w:num>
  <w:num w:numId="11">
    <w:abstractNumId w:val="12"/>
  </w:num>
  <w:num w:numId="12">
    <w:abstractNumId w:val="13"/>
  </w:num>
  <w:num w:numId="13">
    <w:abstractNumId w:val="1"/>
  </w:num>
  <w:num w:numId="14">
    <w:abstractNumId w:val="3"/>
  </w:num>
  <w:num w:numId="15">
    <w:abstractNumId w:val="2"/>
  </w:num>
  <w:num w:numId="16">
    <w:abstractNumId w:val="0"/>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0E"/>
    <w:rsid w:val="0000165D"/>
    <w:rsid w:val="00001A97"/>
    <w:rsid w:val="0001382B"/>
    <w:rsid w:val="0006477E"/>
    <w:rsid w:val="00092863"/>
    <w:rsid w:val="000A19FD"/>
    <w:rsid w:val="000B4E58"/>
    <w:rsid w:val="000B7A2E"/>
    <w:rsid w:val="000D630E"/>
    <w:rsid w:val="00121E39"/>
    <w:rsid w:val="0012309C"/>
    <w:rsid w:val="00192340"/>
    <w:rsid w:val="001C0527"/>
    <w:rsid w:val="001C5440"/>
    <w:rsid w:val="001E630D"/>
    <w:rsid w:val="001F4210"/>
    <w:rsid w:val="00213C4D"/>
    <w:rsid w:val="002420FF"/>
    <w:rsid w:val="00261DE9"/>
    <w:rsid w:val="002679FC"/>
    <w:rsid w:val="002977DA"/>
    <w:rsid w:val="002A18A9"/>
    <w:rsid w:val="002C67BF"/>
    <w:rsid w:val="003021E7"/>
    <w:rsid w:val="0031395A"/>
    <w:rsid w:val="00340BFD"/>
    <w:rsid w:val="00350464"/>
    <w:rsid w:val="00357D1A"/>
    <w:rsid w:val="003925A7"/>
    <w:rsid w:val="003B2BB8"/>
    <w:rsid w:val="003C2543"/>
    <w:rsid w:val="003C3D27"/>
    <w:rsid w:val="003D34FF"/>
    <w:rsid w:val="003D4F41"/>
    <w:rsid w:val="003E336A"/>
    <w:rsid w:val="00404C11"/>
    <w:rsid w:val="00416AB5"/>
    <w:rsid w:val="00421B46"/>
    <w:rsid w:val="0042372D"/>
    <w:rsid w:val="00447311"/>
    <w:rsid w:val="00454693"/>
    <w:rsid w:val="00487A4B"/>
    <w:rsid w:val="004924C6"/>
    <w:rsid w:val="004A0C69"/>
    <w:rsid w:val="004A29C2"/>
    <w:rsid w:val="004B54CA"/>
    <w:rsid w:val="004D5F80"/>
    <w:rsid w:val="004E5CBF"/>
    <w:rsid w:val="00535348"/>
    <w:rsid w:val="005537DE"/>
    <w:rsid w:val="005638D6"/>
    <w:rsid w:val="00570D8A"/>
    <w:rsid w:val="0059472F"/>
    <w:rsid w:val="005A7E25"/>
    <w:rsid w:val="005B2B6C"/>
    <w:rsid w:val="005B5279"/>
    <w:rsid w:val="005C3AA9"/>
    <w:rsid w:val="005C7AFA"/>
    <w:rsid w:val="005E3E6C"/>
    <w:rsid w:val="005E669D"/>
    <w:rsid w:val="005F31C3"/>
    <w:rsid w:val="005F3D23"/>
    <w:rsid w:val="00604779"/>
    <w:rsid w:val="00612183"/>
    <w:rsid w:val="00615253"/>
    <w:rsid w:val="0062240B"/>
    <w:rsid w:val="00667792"/>
    <w:rsid w:val="006A4CE7"/>
    <w:rsid w:val="006A77C7"/>
    <w:rsid w:val="006C0807"/>
    <w:rsid w:val="006D0066"/>
    <w:rsid w:val="007060BE"/>
    <w:rsid w:val="00720385"/>
    <w:rsid w:val="00740E5F"/>
    <w:rsid w:val="00785261"/>
    <w:rsid w:val="007873DE"/>
    <w:rsid w:val="007972D7"/>
    <w:rsid w:val="007B0256"/>
    <w:rsid w:val="007B0265"/>
    <w:rsid w:val="007B238D"/>
    <w:rsid w:val="007B777A"/>
    <w:rsid w:val="007D3430"/>
    <w:rsid w:val="00804131"/>
    <w:rsid w:val="008070D3"/>
    <w:rsid w:val="008106B8"/>
    <w:rsid w:val="008112D0"/>
    <w:rsid w:val="00814D76"/>
    <w:rsid w:val="00843B54"/>
    <w:rsid w:val="00853B5E"/>
    <w:rsid w:val="00860924"/>
    <w:rsid w:val="00890AE8"/>
    <w:rsid w:val="0089311B"/>
    <w:rsid w:val="008A61A1"/>
    <w:rsid w:val="008C1AB4"/>
    <w:rsid w:val="009225F0"/>
    <w:rsid w:val="00937682"/>
    <w:rsid w:val="009522E1"/>
    <w:rsid w:val="009757A5"/>
    <w:rsid w:val="00977FDF"/>
    <w:rsid w:val="009A41BC"/>
    <w:rsid w:val="00A022C9"/>
    <w:rsid w:val="00A075CF"/>
    <w:rsid w:val="00A12583"/>
    <w:rsid w:val="00A82B0C"/>
    <w:rsid w:val="00A87366"/>
    <w:rsid w:val="00AA5B73"/>
    <w:rsid w:val="00AC4BE0"/>
    <w:rsid w:val="00AD241C"/>
    <w:rsid w:val="00AE2B41"/>
    <w:rsid w:val="00AE5351"/>
    <w:rsid w:val="00B145A5"/>
    <w:rsid w:val="00B42A12"/>
    <w:rsid w:val="00B73D68"/>
    <w:rsid w:val="00B82EB3"/>
    <w:rsid w:val="00B917F1"/>
    <w:rsid w:val="00B939E5"/>
    <w:rsid w:val="00BA2DB9"/>
    <w:rsid w:val="00BA5D31"/>
    <w:rsid w:val="00BB43D1"/>
    <w:rsid w:val="00BE7148"/>
    <w:rsid w:val="00C27E81"/>
    <w:rsid w:val="00C34B01"/>
    <w:rsid w:val="00C61AB1"/>
    <w:rsid w:val="00C73F6E"/>
    <w:rsid w:val="00CA252E"/>
    <w:rsid w:val="00CF113F"/>
    <w:rsid w:val="00D0019B"/>
    <w:rsid w:val="00D17E32"/>
    <w:rsid w:val="00D47619"/>
    <w:rsid w:val="00D65E0D"/>
    <w:rsid w:val="00D76F17"/>
    <w:rsid w:val="00D87C9B"/>
    <w:rsid w:val="00DD7924"/>
    <w:rsid w:val="00DE214C"/>
    <w:rsid w:val="00E10680"/>
    <w:rsid w:val="00E30F07"/>
    <w:rsid w:val="00E34909"/>
    <w:rsid w:val="00E610D7"/>
    <w:rsid w:val="00E80FAD"/>
    <w:rsid w:val="00E819CD"/>
    <w:rsid w:val="00EB7AE8"/>
    <w:rsid w:val="00ED3BA0"/>
    <w:rsid w:val="00ED6897"/>
    <w:rsid w:val="00ED7474"/>
    <w:rsid w:val="00EE3AEC"/>
    <w:rsid w:val="00F05880"/>
    <w:rsid w:val="00F440DE"/>
    <w:rsid w:val="00F4697D"/>
    <w:rsid w:val="00F5467D"/>
    <w:rsid w:val="00F62A2B"/>
    <w:rsid w:val="00F75E82"/>
    <w:rsid w:val="00FA6BAB"/>
    <w:rsid w:val="00FB3389"/>
    <w:rsid w:val="00FB4266"/>
    <w:rsid w:val="00FF4A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F0D8B15"/>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7060BE"/>
    <w:pPr>
      <w:spacing w:after="100" w:line="259" w:lineRule="auto"/>
    </w:pPr>
    <w:rPr>
      <w:sz w:val="20"/>
    </w:rPr>
  </w:style>
  <w:style w:type="paragraph" w:styleId="TOC2">
    <w:name w:val="toc 2"/>
    <w:basedOn w:val="Normal"/>
    <w:next w:val="Normal"/>
    <w:autoRedefine/>
    <w:uiPriority w:val="39"/>
    <w:unhideWhenUsed/>
    <w:rsid w:val="007060BE"/>
    <w:pPr>
      <w:spacing w:after="100" w:line="259" w:lineRule="auto"/>
      <w:ind w:left="220"/>
    </w:pPr>
    <w:rPr>
      <w:sz w:val="20"/>
    </w:rPr>
  </w:style>
  <w:style w:type="paragraph" w:styleId="TOC3">
    <w:name w:val="toc 3"/>
    <w:basedOn w:val="Normal"/>
    <w:next w:val="Normal"/>
    <w:autoRedefine/>
    <w:uiPriority w:val="39"/>
    <w:unhideWhenUsed/>
    <w:rsid w:val="007060BE"/>
    <w:pPr>
      <w:spacing w:after="100" w:line="259" w:lineRule="auto"/>
      <w:ind w:left="440"/>
    </w:pPr>
    <w:rPr>
      <w:sz w:val="20"/>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39"/>
    <w:rsid w:val="000B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24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AC4BE0"/>
    <w:rPr>
      <w:sz w:val="16"/>
      <w:szCs w:val="16"/>
    </w:rPr>
  </w:style>
  <w:style w:type="paragraph" w:styleId="CommentText">
    <w:name w:val="annotation text"/>
    <w:basedOn w:val="Normal"/>
    <w:link w:val="CommentTextChar"/>
    <w:uiPriority w:val="99"/>
    <w:semiHidden/>
    <w:unhideWhenUsed/>
    <w:rsid w:val="00AC4BE0"/>
    <w:pPr>
      <w:spacing w:line="240" w:lineRule="auto"/>
    </w:pPr>
    <w:rPr>
      <w:sz w:val="20"/>
      <w:szCs w:val="20"/>
    </w:rPr>
  </w:style>
  <w:style w:type="character" w:customStyle="1" w:styleId="CommentTextChar">
    <w:name w:val="Comment Text Char"/>
    <w:basedOn w:val="DefaultParagraphFont"/>
    <w:link w:val="CommentText"/>
    <w:uiPriority w:val="99"/>
    <w:semiHidden/>
    <w:rsid w:val="00AC4BE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C4BE0"/>
    <w:rPr>
      <w:b/>
      <w:bCs/>
    </w:rPr>
  </w:style>
  <w:style w:type="character" w:customStyle="1" w:styleId="CommentSubjectChar">
    <w:name w:val="Comment Subject Char"/>
    <w:basedOn w:val="CommentTextChar"/>
    <w:link w:val="CommentSubject"/>
    <w:uiPriority w:val="99"/>
    <w:semiHidden/>
    <w:rsid w:val="00AC4BE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405155">
      <w:bodyDiv w:val="1"/>
      <w:marLeft w:val="0"/>
      <w:marRight w:val="0"/>
      <w:marTop w:val="0"/>
      <w:marBottom w:val="0"/>
      <w:divBdr>
        <w:top w:val="none" w:sz="0" w:space="0" w:color="auto"/>
        <w:left w:val="none" w:sz="0" w:space="0" w:color="auto"/>
        <w:bottom w:val="none" w:sz="0" w:space="0" w:color="auto"/>
        <w:right w:val="none" w:sz="0" w:space="0" w:color="auto"/>
      </w:divBdr>
    </w:div>
    <w:div w:id="1961453661">
      <w:bodyDiv w:val="1"/>
      <w:marLeft w:val="0"/>
      <w:marRight w:val="0"/>
      <w:marTop w:val="0"/>
      <w:marBottom w:val="0"/>
      <w:divBdr>
        <w:top w:val="none" w:sz="0" w:space="0" w:color="auto"/>
        <w:left w:val="none" w:sz="0" w:space="0" w:color="auto"/>
        <w:bottom w:val="none" w:sz="0" w:space="0" w:color="auto"/>
        <w:right w:val="none" w:sz="0" w:space="0" w:color="auto"/>
      </w:divBdr>
    </w:div>
    <w:div w:id="212568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eme.actuary@ndi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CatchAll xmlns="4eda4ad6-7ef7-4305-ba1e-934f809bdd01">
      <Value>20</Value>
      <Value>12</Value>
      <Value>2</Value>
      <Value>1</Value>
    </TaxCatchAll>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3" ma:contentTypeDescription="Create a new document." ma:contentTypeScope="" ma:versionID="24c4d1dd9adc574f927ce8eb300377e8">
  <xsd:schema xmlns:xsd="http://www.w3.org/2001/XMLSchema" xmlns:xs="http://www.w3.org/2001/XMLSchema" xmlns:p="http://schemas.microsoft.com/office/2006/metadata/properties" xmlns:ns1="http://schemas.microsoft.com/sharepoint/v3" xmlns:ns2="58569e35-c074-42ac-b0e0-5012f8e6d690" xmlns:ns3="4eda4ad6-7ef7-4305-ba1e-934f809bdd01" xmlns:ns4="http://schemas.microsoft.com/sharepoint/v3/fields" targetNamespace="http://schemas.microsoft.com/office/2006/metadata/properties" ma:root="true" ma:fieldsID="4d59cda29bbcab999e779eb184e401cb" ns1:_="" ns2:_="" ns3:_="" ns4:_="">
    <xsd:import namespace="http://schemas.microsoft.com/sharepoint/v3"/>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5A69B-9946-4E92-A5EA-85765424243E}">
  <ds:schemaRefs>
    <ds:schemaRef ds:uri="http://schemas.microsoft.com/office/2006/metadata/properties"/>
    <ds:schemaRef ds:uri="http://schemas.microsoft.com/office/infopath/2007/PartnerControls"/>
    <ds:schemaRef ds:uri="http://schemas.microsoft.com/sharepoint/v3/fields"/>
    <ds:schemaRef ds:uri="4eda4ad6-7ef7-4305-ba1e-934f809bdd01"/>
    <ds:schemaRef ds:uri="58569e35-c074-42ac-b0e0-5012f8e6d690"/>
    <ds:schemaRef ds:uri="http://schemas.microsoft.com/sharepoint/v3"/>
  </ds:schemaRefs>
</ds:datastoreItem>
</file>

<file path=customXml/itemProps2.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3.xml><?xml version="1.0" encoding="utf-8"?>
<ds:datastoreItem xmlns:ds="http://schemas.openxmlformats.org/officeDocument/2006/customXml" ds:itemID="{5BE4CFDF-4AB5-43E2-A42C-59CD5CB25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B6B302-50D6-4FCB-948D-B6D1BD979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Steichen, Elizabeth</cp:lastModifiedBy>
  <cp:revision>23</cp:revision>
  <cp:lastPrinted>2019-11-28T23:48:00Z</cp:lastPrinted>
  <dcterms:created xsi:type="dcterms:W3CDTF">2019-11-26T03:40:00Z</dcterms:created>
  <dcterms:modified xsi:type="dcterms:W3CDTF">2019-12-01T23:01:00Z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